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bookmarkStart w:id="0" w:name="_GoBack"/>
      <w:bookmarkEnd w:id="0"/>
      <w:r w:rsidRPr="00CB5B5E">
        <w:rPr>
          <w:rFonts w:ascii="Arial" w:hAnsi="Arial"/>
          <w:b/>
          <w:noProof/>
          <w:sz w:val="24"/>
          <w:lang w:eastAsia="en-US"/>
        </w:rPr>
        <w:t>3GPP TSG RAN Meeting #77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="00126BCD" w:rsidRPr="00126BCD">
        <w:rPr>
          <w:rFonts w:ascii="Arial" w:hAnsi="Arial"/>
          <w:b/>
          <w:noProof/>
          <w:sz w:val="24"/>
          <w:lang w:eastAsia="en-US"/>
        </w:rPr>
        <w:t>RP-171776</w:t>
      </w:r>
    </w:p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Sapporo, Japan, 11 – 14 September 2017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126BCD" w:rsidRPr="00126BCD">
        <w:rPr>
          <w:rFonts w:cs="Arial"/>
          <w:b/>
          <w:bCs/>
          <w:sz w:val="24"/>
          <w:lang w:val="en-US"/>
        </w:rPr>
        <w:t>10.6.8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>Huawei, HiSilicon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126BCD" w:rsidRPr="00126BCD">
        <w:rPr>
          <w:rFonts w:ascii="Arial" w:hAnsi="Arial" w:cs="Arial"/>
          <w:b/>
          <w:bCs/>
          <w:sz w:val="24"/>
        </w:rPr>
        <w:t>Details of specification handling of 3GPP-based access to unlicensed spectrum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1D3D37">
        <w:rPr>
          <w:rFonts w:ascii="Arial" w:hAnsi="Arial" w:cs="Arial"/>
          <w:b/>
          <w:bCs/>
          <w:sz w:val="24"/>
        </w:rPr>
        <w:t>Discussion</w:t>
      </w:r>
    </w:p>
    <w:p w:rsidR="006D6B31" w:rsidRDefault="006D6B31" w:rsidP="006D6B31">
      <w:pPr>
        <w:pStyle w:val="Heading1"/>
      </w:pPr>
      <w:r>
        <w:t>Introduction:</w:t>
      </w:r>
    </w:p>
    <w:p w:rsidR="001E2BBB" w:rsidRDefault="00126BCD" w:rsidP="001E2BBB">
      <w:pPr>
        <w:rPr>
          <w:lang w:eastAsia="zh-CN"/>
        </w:rPr>
      </w:pPr>
      <w:r w:rsidRPr="00126BCD">
        <w:rPr>
          <w:lang w:eastAsia="zh-CN"/>
        </w:rPr>
        <w:t xml:space="preserve">RAN#76 endorsed the </w:t>
      </w:r>
      <w:r>
        <w:rPr>
          <w:lang w:eastAsia="zh-CN"/>
        </w:rPr>
        <w:t xml:space="preserve">proposal in </w:t>
      </w:r>
      <w:r w:rsidRPr="00126BCD">
        <w:rPr>
          <w:lang w:eastAsia="zh-CN"/>
        </w:rPr>
        <w:t>RP-171128</w:t>
      </w:r>
      <w:r>
        <w:rPr>
          <w:lang w:eastAsia="zh-CN"/>
        </w:rPr>
        <w:t xml:space="preserve"> for handling of 3GPP-based access to unlicensed spectrum:</w:t>
      </w:r>
    </w:p>
    <w:p w:rsidR="00126BCD" w:rsidRPr="00126BCD" w:rsidRDefault="00126BCD" w:rsidP="00126BCD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126BCD">
        <w:rPr>
          <w:sz w:val="20"/>
          <w:szCs w:val="20"/>
        </w:rPr>
        <w:t>From Rel-15 onwards, standard impact specific to 3GPP-based access to unlicensed spectrum will be specified in a different set of specifications</w:t>
      </w:r>
      <w:r>
        <w:rPr>
          <w:sz w:val="20"/>
          <w:szCs w:val="20"/>
        </w:rPr>
        <w:t>.</w:t>
      </w:r>
    </w:p>
    <w:p w:rsidR="00595DA4" w:rsidRPr="00126BCD" w:rsidRDefault="00126BCD" w:rsidP="00062D3F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 w:rsidRPr="00126BCD">
        <w:rPr>
          <w:sz w:val="20"/>
          <w:szCs w:val="20"/>
        </w:rPr>
        <w:t>No use of unlicensed spectrum will be assumed in the IMT-2020 self-evaluations from 3GPP, and the corresponding specifications will not be submitted to ITU-R as part of the IMT-2020 submissio</w:t>
      </w:r>
      <w:r>
        <w:rPr>
          <w:sz w:val="20"/>
          <w:szCs w:val="20"/>
        </w:rPr>
        <w:t>n.</w:t>
      </w:r>
    </w:p>
    <w:p w:rsidR="00126BCD" w:rsidRDefault="00126BCD" w:rsidP="00126BCD">
      <w:pPr>
        <w:rPr>
          <w:lang w:eastAsia="zh-CN"/>
        </w:rPr>
      </w:pPr>
      <w:r>
        <w:rPr>
          <w:lang w:eastAsia="zh-CN"/>
        </w:rPr>
        <w:t>This paper discusses the details of the practical handling of RAN1 and RAN4 specifications for unlicensed spectrum, with the goal to achieve a simple solution targeting only the essential aspects of channel access mechanisms (e.g. LBT).</w:t>
      </w:r>
    </w:p>
    <w:p w:rsidR="00595DA4" w:rsidRDefault="00126BCD" w:rsidP="00595DA4">
      <w:pPr>
        <w:pStyle w:val="Heading1"/>
      </w:pPr>
      <w:r>
        <w:t>Handling of RAN1 specifications</w:t>
      </w:r>
    </w:p>
    <w:p w:rsidR="00126BCD" w:rsidRDefault="001D3D37" w:rsidP="00D064A8">
      <w:pPr>
        <w:rPr>
          <w:lang w:eastAsia="zh-CN"/>
        </w:rPr>
      </w:pPr>
      <w:r>
        <w:rPr>
          <w:lang w:eastAsia="zh-CN"/>
        </w:rPr>
        <w:t xml:space="preserve">LTE-based </w:t>
      </w:r>
      <w:r w:rsidR="00126BCD">
        <w:rPr>
          <w:lang w:eastAsia="zh-CN"/>
        </w:rPr>
        <w:t>LAA has impact across several RAN1 specifications</w:t>
      </w:r>
      <w:r>
        <w:rPr>
          <w:lang w:eastAsia="zh-CN"/>
        </w:rPr>
        <w:t xml:space="preserve">, and is tightly related to the </w:t>
      </w:r>
      <w:r w:rsidR="00126BCD">
        <w:rPr>
          <w:lang w:eastAsia="zh-CN"/>
        </w:rPr>
        <w:t xml:space="preserve">use of frame structure 3. </w:t>
      </w:r>
      <w:r>
        <w:rPr>
          <w:lang w:eastAsia="zh-CN"/>
        </w:rPr>
        <w:t>T</w:t>
      </w:r>
      <w:r w:rsidR="00126BCD">
        <w:rPr>
          <w:lang w:eastAsia="zh-CN"/>
        </w:rPr>
        <w:t>he channel access mechanism specified in section 15 of TS36.213</w:t>
      </w:r>
      <w:r>
        <w:rPr>
          <w:lang w:eastAsia="zh-CN"/>
        </w:rPr>
        <w:t xml:space="preserve"> is exclusively relevant to band 46</w:t>
      </w:r>
      <w:r w:rsidR="00126BCD">
        <w:rPr>
          <w:lang w:eastAsia="zh-CN"/>
        </w:rPr>
        <w:t xml:space="preserve">. It would </w:t>
      </w:r>
      <w:r>
        <w:rPr>
          <w:lang w:eastAsia="zh-CN"/>
        </w:rPr>
        <w:t xml:space="preserve">thus </w:t>
      </w:r>
      <w:r w:rsidR="00126BCD">
        <w:rPr>
          <w:lang w:eastAsia="zh-CN"/>
        </w:rPr>
        <w:t>be straightforward to move this essential part of the use of unlicensed spectrum to a new RAN1 specification focusing on channel access mech</w:t>
      </w:r>
      <w:r>
        <w:rPr>
          <w:lang w:eastAsia="zh-CN"/>
        </w:rPr>
        <w:t>anisms for unlicensed spectrum</w:t>
      </w:r>
      <w:r w:rsidR="00B81605">
        <w:rPr>
          <w:lang w:eastAsia="zh-CN"/>
        </w:rPr>
        <w:t xml:space="preserve"> (covering Rel-13/14/15)</w:t>
      </w:r>
      <w:r>
        <w:rPr>
          <w:lang w:eastAsia="zh-CN"/>
        </w:rPr>
        <w:t>, while other impacts which are affecting more commonly shared functions with licensed spectrum would remain in legacy RAN1 specifications</w:t>
      </w:r>
      <w:r w:rsidR="003B4222">
        <w:rPr>
          <w:lang w:eastAsia="zh-CN"/>
        </w:rPr>
        <w:t xml:space="preserve"> and refer as appropriate to the new TS</w:t>
      </w:r>
      <w:r>
        <w:rPr>
          <w:lang w:eastAsia="zh-CN"/>
        </w:rPr>
        <w:t xml:space="preserve">. It is not proposed to move the definition of frame structure 3 to the new </w:t>
      </w:r>
      <w:r w:rsidR="003B4222">
        <w:rPr>
          <w:lang w:eastAsia="zh-CN"/>
        </w:rPr>
        <w:t>TS</w:t>
      </w:r>
      <w:r>
        <w:rPr>
          <w:lang w:eastAsia="zh-CN"/>
        </w:rPr>
        <w:t>.</w:t>
      </w:r>
    </w:p>
    <w:p w:rsidR="00EF02C8" w:rsidRDefault="00126BCD" w:rsidP="00D064A8">
      <w:pPr>
        <w:rPr>
          <w:lang w:eastAsia="zh-CN"/>
        </w:rPr>
      </w:pPr>
      <w:r>
        <w:rPr>
          <w:lang w:eastAsia="zh-CN"/>
        </w:rPr>
        <w:t xml:space="preserve">Considering that 3GPP-based access to unlicensed spectrum </w:t>
      </w:r>
      <w:r w:rsidR="001D3D37">
        <w:rPr>
          <w:lang w:eastAsia="zh-CN"/>
        </w:rPr>
        <w:t>will soon be under study for NR with possible specification in Rel-16, it may be useful to consider the forward compatibility of the new specification and its applicability to NR from Rel-16. Therefore a TS in 37 series may be appropriate. Candidate names for the new RAN1 TS could be “channel access mechanisms for unlicensed spectrum” or “channel access mechanisms for shared spectrum”</w:t>
      </w:r>
      <w:r w:rsidR="00B81605">
        <w:rPr>
          <w:lang w:eastAsia="zh-CN"/>
        </w:rPr>
        <w:t xml:space="preserve"> or “channel access mechanisms for unlicensed and shared spectrum”.</w:t>
      </w:r>
    </w:p>
    <w:p w:rsidR="00B81605" w:rsidRPr="001D3D37" w:rsidRDefault="00B81605" w:rsidP="00B81605">
      <w:pPr>
        <w:rPr>
          <w:b/>
        </w:rPr>
      </w:pPr>
      <w:r w:rsidRPr="001D3D37">
        <w:rPr>
          <w:b/>
          <w:lang w:eastAsia="zh-CN"/>
        </w:rPr>
        <w:t xml:space="preserve">Proposal 1: </w:t>
      </w:r>
      <w:r>
        <w:rPr>
          <w:b/>
          <w:lang w:eastAsia="zh-CN"/>
        </w:rPr>
        <w:t>c</w:t>
      </w:r>
      <w:r w:rsidRPr="001D3D37">
        <w:rPr>
          <w:b/>
          <w:lang w:eastAsia="zh-CN"/>
        </w:rPr>
        <w:t>reat</w:t>
      </w:r>
      <w:r>
        <w:rPr>
          <w:b/>
          <w:lang w:eastAsia="zh-CN"/>
        </w:rPr>
        <w:t>e</w:t>
      </w:r>
      <w:r w:rsidRPr="001D3D37">
        <w:rPr>
          <w:b/>
          <w:lang w:eastAsia="zh-CN"/>
        </w:rPr>
        <w:t xml:space="preserve"> a new RAN1-led technical specification to specify channel access mechanisms for unlicensed </w:t>
      </w:r>
      <w:r>
        <w:rPr>
          <w:b/>
          <w:lang w:eastAsia="zh-CN"/>
        </w:rPr>
        <w:t>and</w:t>
      </w:r>
      <w:r w:rsidRPr="001D3D37">
        <w:rPr>
          <w:b/>
          <w:lang w:eastAsia="zh-CN"/>
        </w:rPr>
        <w:t xml:space="preserve"> shared spectrum</w:t>
      </w:r>
      <w:r>
        <w:rPr>
          <w:b/>
          <w:lang w:eastAsia="zh-CN"/>
        </w:rPr>
        <w:t>, taking the Rel-</w:t>
      </w:r>
      <w:r w:rsidR="003B4222">
        <w:rPr>
          <w:b/>
          <w:lang w:eastAsia="zh-CN"/>
        </w:rPr>
        <w:t>13/14/</w:t>
      </w:r>
      <w:r>
        <w:rPr>
          <w:b/>
          <w:lang w:eastAsia="zh-CN"/>
        </w:rPr>
        <w:t>15 contents of section 15 of 36.213</w:t>
      </w:r>
      <w:r w:rsidRPr="001D3D37">
        <w:rPr>
          <w:b/>
          <w:lang w:eastAsia="zh-CN"/>
        </w:rPr>
        <w:t>.</w:t>
      </w:r>
      <w:r w:rsidR="003B4222">
        <w:rPr>
          <w:b/>
          <w:lang w:eastAsia="zh-CN"/>
        </w:rPr>
        <w:t xml:space="preserve"> Consider the 37 spec series.</w:t>
      </w:r>
    </w:p>
    <w:p w:rsidR="00D064A8" w:rsidRDefault="00126BCD" w:rsidP="00D064A8">
      <w:pPr>
        <w:pStyle w:val="Heading1"/>
      </w:pPr>
      <w:r>
        <w:t>Handling of RAN4 specifications</w:t>
      </w:r>
    </w:p>
    <w:p w:rsidR="00034F82" w:rsidRDefault="001312FF" w:rsidP="00034F82">
      <w:pPr>
        <w:rPr>
          <w:lang w:val="en-US" w:eastAsia="zh-CN"/>
        </w:rPr>
      </w:pPr>
      <w:r>
        <w:rPr>
          <w:lang w:val="en-US" w:eastAsia="zh-CN"/>
        </w:rPr>
        <w:t xml:space="preserve">LTE-based LAA also has impacts across </w:t>
      </w:r>
      <w:r w:rsidR="00A36F58">
        <w:rPr>
          <w:lang w:val="en-US" w:eastAsia="zh-CN"/>
        </w:rPr>
        <w:t>RAN4 specifications</w:t>
      </w:r>
      <w:r w:rsidR="0059496E">
        <w:rPr>
          <w:lang w:val="en-US" w:eastAsia="zh-CN"/>
        </w:rPr>
        <w:t>. From the aspect of</w:t>
      </w:r>
      <w:r w:rsidR="00034F82">
        <w:rPr>
          <w:lang w:val="en-US" w:eastAsia="zh-CN"/>
        </w:rPr>
        <w:t xml:space="preserve"> th</w:t>
      </w:r>
      <w:r w:rsidR="0059496E">
        <w:rPr>
          <w:lang w:val="en-US" w:eastAsia="zh-CN"/>
        </w:rPr>
        <w:t>e relation with</w:t>
      </w:r>
      <w:r w:rsidR="00034F82">
        <w:rPr>
          <w:lang w:val="en-US" w:eastAsia="zh-CN"/>
        </w:rPr>
        <w:t xml:space="preserve"> LBT mechanism, all the requirements can be categorized into three types:</w:t>
      </w:r>
    </w:p>
    <w:p w:rsidR="00034F82" w:rsidRPr="00034F82" w:rsidRDefault="00034F82" w:rsidP="00062D3F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>
        <w:rPr>
          <w:sz w:val="20"/>
          <w:szCs w:val="20"/>
        </w:rPr>
        <w:t xml:space="preserve">Type 1: Requirements tightly related to LBT mechanism, </w:t>
      </w:r>
      <w:r w:rsidRPr="00034F82">
        <w:rPr>
          <w:sz w:val="20"/>
          <w:szCs w:val="20"/>
        </w:rPr>
        <w:t>including channel access procedure, demodulation performance, R</w:t>
      </w:r>
      <w:r>
        <w:rPr>
          <w:sz w:val="20"/>
          <w:szCs w:val="20"/>
        </w:rPr>
        <w:t>RM requirements, which verify the particular UE implementation or behavior under LBT mechanism</w:t>
      </w:r>
      <w:r w:rsidRPr="00034F82">
        <w:rPr>
          <w:sz w:val="20"/>
          <w:szCs w:val="20"/>
        </w:rPr>
        <w:t>.</w:t>
      </w:r>
    </w:p>
    <w:p w:rsidR="00034F82" w:rsidRDefault="00034F82" w:rsidP="00062D3F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>
        <w:rPr>
          <w:sz w:val="20"/>
          <w:szCs w:val="20"/>
        </w:rPr>
        <w:t xml:space="preserve">Type 2: Requirements defined based on </w:t>
      </w:r>
      <w:r w:rsidR="0059496E">
        <w:rPr>
          <w:sz w:val="20"/>
          <w:szCs w:val="20"/>
        </w:rPr>
        <w:t xml:space="preserve">reference channel with </w:t>
      </w:r>
      <w:r>
        <w:rPr>
          <w:sz w:val="20"/>
          <w:szCs w:val="20"/>
        </w:rPr>
        <w:t>LBT model but not t</w:t>
      </w:r>
      <w:r w:rsidR="0059496E">
        <w:rPr>
          <w:sz w:val="20"/>
          <w:szCs w:val="20"/>
        </w:rPr>
        <w:t>ightly related to LBT mechanism, like the reference sensitivity and other receiver RF requirements, which mainly verify receiver RF channel performance.</w:t>
      </w:r>
    </w:p>
    <w:p w:rsidR="0059496E" w:rsidRPr="00034F82" w:rsidRDefault="0059496E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>
        <w:rPr>
          <w:sz w:val="20"/>
          <w:szCs w:val="20"/>
        </w:rPr>
        <w:t xml:space="preserve">Type 3: Requirements for Band 46 but not tightly related to LBT mechanism, including </w:t>
      </w:r>
      <w:r w:rsidRPr="0059496E">
        <w:rPr>
          <w:sz w:val="20"/>
          <w:szCs w:val="20"/>
        </w:rPr>
        <w:t>UE transmitter requirements for eLAA and BS transmitter requirements for LAA</w:t>
      </w:r>
      <w:r>
        <w:rPr>
          <w:sz w:val="20"/>
          <w:szCs w:val="20"/>
        </w:rPr>
        <w:t xml:space="preserve">, which verify whether UE can meet the </w:t>
      </w:r>
      <w:r w:rsidR="007D4B84">
        <w:rPr>
          <w:sz w:val="20"/>
          <w:szCs w:val="20"/>
        </w:rPr>
        <w:lastRenderedPageBreak/>
        <w:t xml:space="preserve">regulatory </w:t>
      </w:r>
      <w:r>
        <w:rPr>
          <w:sz w:val="20"/>
          <w:szCs w:val="20"/>
        </w:rPr>
        <w:t xml:space="preserve">requirements for the unwanted signal emission or have good </w:t>
      </w:r>
      <w:r w:rsidR="004B26CE">
        <w:rPr>
          <w:sz w:val="20"/>
          <w:szCs w:val="20"/>
        </w:rPr>
        <w:t>signal quality</w:t>
      </w:r>
      <w:r>
        <w:rPr>
          <w:sz w:val="20"/>
          <w:szCs w:val="20"/>
        </w:rPr>
        <w:t xml:space="preserve">. Those requirements would be kept unchanged, if </w:t>
      </w:r>
      <w:r w:rsidR="007D4B84">
        <w:rPr>
          <w:sz w:val="20"/>
          <w:szCs w:val="20"/>
        </w:rPr>
        <w:t xml:space="preserve">a </w:t>
      </w:r>
      <w:r>
        <w:rPr>
          <w:sz w:val="20"/>
          <w:szCs w:val="20"/>
        </w:rPr>
        <w:t>new licensed band was specified in the same spectrum range.</w:t>
      </w:r>
    </w:p>
    <w:p w:rsidR="00BF6047" w:rsidRDefault="0059496E" w:rsidP="00ED2B75">
      <w:pPr>
        <w:rPr>
          <w:lang w:val="en-US" w:eastAsia="zh-CN"/>
        </w:rPr>
      </w:pPr>
      <w:r>
        <w:rPr>
          <w:lang w:val="en-US" w:eastAsia="zh-CN"/>
        </w:rPr>
        <w:t xml:space="preserve">There would be two alternative ways to separate the unlicensed RAN4 specifications. One is to move both Type 1 and Type 2 requirements to new specifications. The other is to move only Type 1 to new specifications. In our view, </w:t>
      </w:r>
      <w:r w:rsidR="00BF6047">
        <w:rPr>
          <w:lang w:val="en-US" w:eastAsia="zh-CN"/>
        </w:rPr>
        <w:t>the latter is more preferable since it is easy and has less impact on the existing specifications. Besides, some of Type 1 requ</w:t>
      </w:r>
      <w:r w:rsidR="007D4B84">
        <w:rPr>
          <w:lang w:val="en-US" w:eastAsia="zh-CN"/>
        </w:rPr>
        <w:t>i</w:t>
      </w:r>
      <w:r w:rsidR="00BF6047">
        <w:rPr>
          <w:lang w:val="en-US" w:eastAsia="zh-CN"/>
        </w:rPr>
        <w:t xml:space="preserve">rements are </w:t>
      </w:r>
      <w:r w:rsidR="007D4B84">
        <w:rPr>
          <w:lang w:val="en-US" w:eastAsia="zh-CN"/>
        </w:rPr>
        <w:t xml:space="preserve">specific </w:t>
      </w:r>
      <w:r w:rsidR="00BF6047">
        <w:rPr>
          <w:lang w:val="en-US" w:eastAsia="zh-CN"/>
        </w:rPr>
        <w:t xml:space="preserve">for Band 46. </w:t>
      </w:r>
      <w:r w:rsidR="00BF0CE9">
        <w:rPr>
          <w:lang w:val="en-US" w:eastAsia="zh-CN"/>
        </w:rPr>
        <w:t>So w</w:t>
      </w:r>
      <w:r w:rsidR="00E91011" w:rsidRPr="00BF0CE9">
        <w:rPr>
          <w:lang w:val="en-US" w:eastAsia="zh-CN"/>
        </w:rPr>
        <w:t xml:space="preserve">e also need the </w:t>
      </w:r>
      <w:r w:rsidR="00F51A2A" w:rsidRPr="003922F5">
        <w:rPr>
          <w:lang w:val="en-US" w:eastAsia="zh-CN"/>
        </w:rPr>
        <w:t>un</w:t>
      </w:r>
      <w:r w:rsidR="00E91011" w:rsidRPr="00BF0CE9">
        <w:rPr>
          <w:lang w:val="en-US" w:eastAsia="zh-CN"/>
        </w:rPr>
        <w:t>licensed band definition in the new specifications.</w:t>
      </w:r>
    </w:p>
    <w:p w:rsidR="00053397" w:rsidRDefault="00BF6047" w:rsidP="00ED2B75">
      <w:pPr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053397">
        <w:rPr>
          <w:lang w:val="en-US" w:eastAsia="zh-CN"/>
        </w:rPr>
        <w:t>abov</w:t>
      </w:r>
      <w:r w:rsidR="00A30CFF">
        <w:rPr>
          <w:lang w:val="en-US" w:eastAsia="zh-CN"/>
        </w:rPr>
        <w:t>e ana</w:t>
      </w:r>
      <w:r w:rsidR="007D4B84">
        <w:rPr>
          <w:lang w:val="en-US" w:eastAsia="zh-CN"/>
        </w:rPr>
        <w:t>l</w:t>
      </w:r>
      <w:r w:rsidR="00A30CFF">
        <w:rPr>
          <w:lang w:val="en-US" w:eastAsia="zh-CN"/>
        </w:rPr>
        <w:t>ysis, the following requirements can be moved to the new RAN4 specifications dedicated to unlicensed spectrum:</w:t>
      </w:r>
    </w:p>
    <w:p w:rsidR="00A30CFF" w:rsidRPr="00A30CFF" w:rsidRDefault="00A30CFF" w:rsidP="00062D3F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 w:rsidRPr="00A30CFF">
        <w:rPr>
          <w:sz w:val="20"/>
          <w:szCs w:val="20"/>
        </w:rPr>
        <w:t>Unlicensed band definition including the frequency range, channel bandwidth and channel arrangement specified in Section 5 of 36.101 and 36.104.</w:t>
      </w:r>
    </w:p>
    <w:p w:rsidR="00A30CFF" w:rsidRPr="00A30CFF" w:rsidRDefault="00A30CFF" w:rsidP="00062D3F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 w:rsidRPr="00A30CFF">
        <w:rPr>
          <w:sz w:val="20"/>
          <w:szCs w:val="20"/>
        </w:rPr>
        <w:t>Channel access procedure for eLAA UE in Section 13 of 36.101.</w:t>
      </w:r>
    </w:p>
    <w:p w:rsidR="00A30CFF" w:rsidRPr="00A30CFF" w:rsidRDefault="00A30CFF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 w:rsidRPr="00A30CFF">
        <w:rPr>
          <w:sz w:val="20"/>
          <w:szCs w:val="20"/>
        </w:rPr>
        <w:t>Channel access procedure for LAA BS in Section 9 of 36.104 and corresponding conformance tests in 36.141.</w:t>
      </w:r>
    </w:p>
    <w:p w:rsidR="00A30CFF" w:rsidRPr="00A30CFF" w:rsidRDefault="00A30CFF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 w:rsidRPr="00A30CFF">
        <w:rPr>
          <w:sz w:val="20"/>
          <w:szCs w:val="20"/>
        </w:rPr>
        <w:t>All the RRM requirements defined for Frame structure 3 in 36.133, including SCell activation/deactivation delay, interruptions, timing, discovery signal based measurement delay and measurement accuracy.</w:t>
      </w:r>
    </w:p>
    <w:p w:rsidR="00A30CFF" w:rsidRPr="00A30CFF" w:rsidRDefault="00A30CFF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 w:rsidRPr="00A30CFF">
        <w:rPr>
          <w:sz w:val="20"/>
          <w:szCs w:val="20"/>
        </w:rPr>
        <w:t>UE demodulation performance and CSI reporting requirements specified for LAA (or Frame structure type 3) in Section 8 and 9 of 36.101.</w:t>
      </w:r>
    </w:p>
    <w:p w:rsidR="00A30CFF" w:rsidRPr="00A30CFF" w:rsidRDefault="00A30CFF">
      <w:pPr>
        <w:pStyle w:val="ListParagraph"/>
        <w:numPr>
          <w:ilvl w:val="0"/>
          <w:numId w:val="28"/>
        </w:numPr>
        <w:spacing w:afterLines="50" w:after="120"/>
        <w:rPr>
          <w:sz w:val="20"/>
          <w:szCs w:val="20"/>
        </w:rPr>
      </w:pPr>
      <w:r w:rsidRPr="00A30CFF">
        <w:rPr>
          <w:sz w:val="20"/>
          <w:szCs w:val="20"/>
        </w:rPr>
        <w:t>BS demodulation performance requirements for eLAA specified in Section 8 of 36.104 and the corresponding conformance tests specified in 36.141.</w:t>
      </w:r>
    </w:p>
    <w:p w:rsidR="00053397" w:rsidRPr="00A30CFF" w:rsidRDefault="00A30CFF" w:rsidP="00A30CFF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1D3D37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82718B">
        <w:rPr>
          <w:b/>
          <w:lang w:eastAsia="zh-CN"/>
        </w:rPr>
        <w:t xml:space="preserve">create new </w:t>
      </w:r>
      <w:r w:rsidR="00F51A2A">
        <w:rPr>
          <w:rFonts w:hint="eastAsia"/>
          <w:b/>
          <w:lang w:eastAsia="zh-CN"/>
        </w:rPr>
        <w:t xml:space="preserve">RAN4 </w:t>
      </w:r>
      <w:r w:rsidRPr="0082718B">
        <w:rPr>
          <w:b/>
          <w:lang w:eastAsia="zh-CN"/>
        </w:rPr>
        <w:t>specification</w:t>
      </w:r>
      <w:r w:rsidR="00F51A2A">
        <w:rPr>
          <w:rFonts w:hint="eastAsia"/>
          <w:b/>
          <w:lang w:eastAsia="zh-CN"/>
        </w:rPr>
        <w:t>s</w:t>
      </w:r>
      <w:r w:rsidRPr="0082718B">
        <w:rPr>
          <w:b/>
          <w:lang w:eastAsia="zh-CN"/>
        </w:rPr>
        <w:t xml:space="preserve"> for </w:t>
      </w:r>
      <w:r>
        <w:rPr>
          <w:b/>
          <w:lang w:eastAsia="zh-CN"/>
        </w:rPr>
        <w:t xml:space="preserve">including the </w:t>
      </w:r>
      <w:r w:rsidRPr="0082718B">
        <w:rPr>
          <w:b/>
          <w:lang w:eastAsia="zh-CN"/>
        </w:rPr>
        <w:t xml:space="preserve">unlicensed band definition, i.e. band 46, and all </w:t>
      </w:r>
      <w:r>
        <w:rPr>
          <w:b/>
          <w:lang w:eastAsia="zh-CN"/>
        </w:rPr>
        <w:t xml:space="preserve">the requirements related to </w:t>
      </w:r>
      <w:r w:rsidRPr="0082718B">
        <w:rPr>
          <w:b/>
          <w:lang w:eastAsia="zh-CN"/>
        </w:rPr>
        <w:t>LBT</w:t>
      </w:r>
      <w:r>
        <w:rPr>
          <w:b/>
          <w:lang w:eastAsia="zh-CN"/>
        </w:rPr>
        <w:t xml:space="preserve"> mechanism </w:t>
      </w:r>
      <w:r w:rsidRPr="0082718B">
        <w:rPr>
          <w:b/>
          <w:lang w:eastAsia="zh-CN"/>
        </w:rPr>
        <w:t>for both BS and UE</w:t>
      </w:r>
      <w:r>
        <w:rPr>
          <w:b/>
          <w:lang w:eastAsia="zh-CN"/>
        </w:rPr>
        <w:t xml:space="preserve">, </w:t>
      </w:r>
      <w:r w:rsidRPr="00A30CFF">
        <w:rPr>
          <w:b/>
          <w:lang w:eastAsia="zh-CN"/>
        </w:rPr>
        <w:t>including channel access procedure</w:t>
      </w:r>
      <w:r>
        <w:rPr>
          <w:b/>
          <w:lang w:eastAsia="zh-CN"/>
        </w:rPr>
        <w:t>s</w:t>
      </w:r>
      <w:r w:rsidRPr="00A30CFF">
        <w:rPr>
          <w:b/>
          <w:lang w:eastAsia="zh-CN"/>
        </w:rPr>
        <w:t>, RRM for frame structure 3, and demodulation tests for LAA/eLAA</w:t>
      </w:r>
      <w:r>
        <w:rPr>
          <w:b/>
          <w:lang w:eastAsia="zh-CN"/>
        </w:rPr>
        <w:t>. Consider the 37 spec series.</w:t>
      </w:r>
    </w:p>
    <w:p w:rsidR="00521F3D" w:rsidRDefault="00521F3D" w:rsidP="00521F3D">
      <w:pPr>
        <w:pStyle w:val="Heading1"/>
      </w:pPr>
      <w:r>
        <w:t>Conclusion</w:t>
      </w:r>
    </w:p>
    <w:p w:rsidR="006D6B31" w:rsidRDefault="001E2BBB">
      <w:r>
        <w:rPr>
          <w:lang w:eastAsia="zh-CN"/>
        </w:rPr>
        <w:t>This paper</w:t>
      </w:r>
      <w:r w:rsidR="001D3D37">
        <w:rPr>
          <w:lang w:eastAsia="zh-CN"/>
        </w:rPr>
        <w:t xml:space="preserve"> discusses practical handling of the principle to separate aspects exclusively specific to the use of unlicensed spectrum from RAN1 and RAN4 specifications. The proposed principle is to create new RAN1-led TS and RAN4-led TS to specify channel access mechanisms for unlicensed or shared </w:t>
      </w:r>
      <w:r w:rsidR="00B81605">
        <w:rPr>
          <w:lang w:eastAsia="zh-CN"/>
        </w:rPr>
        <w:t>spectrum, the related requireme</w:t>
      </w:r>
      <w:r w:rsidR="001D3D37">
        <w:rPr>
          <w:lang w:eastAsia="zh-CN"/>
        </w:rPr>
        <w:t>n</w:t>
      </w:r>
      <w:r w:rsidR="00B81605">
        <w:rPr>
          <w:lang w:eastAsia="zh-CN"/>
        </w:rPr>
        <w:t>t</w:t>
      </w:r>
      <w:r w:rsidR="001D3D37">
        <w:rPr>
          <w:lang w:eastAsia="zh-CN"/>
        </w:rPr>
        <w:t>s and the associated unlicensed or shared bands definition, starting in Rel-15.</w:t>
      </w:r>
      <w:r w:rsidR="006D6B31">
        <w:t xml:space="preserve"> </w:t>
      </w:r>
    </w:p>
    <w:p w:rsidR="003B4222" w:rsidRPr="001D3D37" w:rsidRDefault="003B4222" w:rsidP="003B4222">
      <w:pPr>
        <w:rPr>
          <w:b/>
        </w:rPr>
      </w:pPr>
      <w:r w:rsidRPr="001D3D37">
        <w:rPr>
          <w:b/>
          <w:lang w:eastAsia="zh-CN"/>
        </w:rPr>
        <w:t xml:space="preserve">Proposal 1: </w:t>
      </w:r>
      <w:r>
        <w:rPr>
          <w:b/>
          <w:lang w:eastAsia="zh-CN"/>
        </w:rPr>
        <w:t>c</w:t>
      </w:r>
      <w:r w:rsidRPr="001D3D37">
        <w:rPr>
          <w:b/>
          <w:lang w:eastAsia="zh-CN"/>
        </w:rPr>
        <w:t>reat</w:t>
      </w:r>
      <w:r>
        <w:rPr>
          <w:b/>
          <w:lang w:eastAsia="zh-CN"/>
        </w:rPr>
        <w:t>e</w:t>
      </w:r>
      <w:r w:rsidRPr="001D3D37">
        <w:rPr>
          <w:b/>
          <w:lang w:eastAsia="zh-CN"/>
        </w:rPr>
        <w:t xml:space="preserve"> a new RAN1-led technical specification to specify channel access mechanisms for unlicensed </w:t>
      </w:r>
      <w:r>
        <w:rPr>
          <w:b/>
          <w:lang w:eastAsia="zh-CN"/>
        </w:rPr>
        <w:t>and</w:t>
      </w:r>
      <w:r w:rsidRPr="001D3D37">
        <w:rPr>
          <w:b/>
          <w:lang w:eastAsia="zh-CN"/>
        </w:rPr>
        <w:t xml:space="preserve"> shared spectrum</w:t>
      </w:r>
      <w:r>
        <w:rPr>
          <w:b/>
          <w:lang w:eastAsia="zh-CN"/>
        </w:rPr>
        <w:t>, taking the Rel-13/14/15 contents of section 15 of 36.213</w:t>
      </w:r>
      <w:r w:rsidRPr="001D3D37">
        <w:rPr>
          <w:b/>
          <w:lang w:eastAsia="zh-CN"/>
        </w:rPr>
        <w:t>.</w:t>
      </w:r>
      <w:r>
        <w:rPr>
          <w:b/>
          <w:lang w:eastAsia="zh-CN"/>
        </w:rPr>
        <w:t xml:space="preserve"> Consider the 37 spec series.</w:t>
      </w:r>
    </w:p>
    <w:p w:rsidR="00A30CFF" w:rsidRDefault="00A30CFF" w:rsidP="00A30CFF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1D3D37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82718B">
        <w:rPr>
          <w:b/>
          <w:lang w:eastAsia="zh-CN"/>
        </w:rPr>
        <w:t xml:space="preserve">create new </w:t>
      </w:r>
      <w:r w:rsidR="00F51A2A">
        <w:rPr>
          <w:rFonts w:hint="eastAsia"/>
          <w:b/>
          <w:lang w:eastAsia="zh-CN"/>
        </w:rPr>
        <w:t xml:space="preserve">RAN4 </w:t>
      </w:r>
      <w:r w:rsidRPr="0082718B">
        <w:rPr>
          <w:b/>
          <w:lang w:eastAsia="zh-CN"/>
        </w:rPr>
        <w:t>specification</w:t>
      </w:r>
      <w:r w:rsidR="00F51A2A">
        <w:rPr>
          <w:rFonts w:hint="eastAsia"/>
          <w:b/>
          <w:lang w:eastAsia="zh-CN"/>
        </w:rPr>
        <w:t>s</w:t>
      </w:r>
      <w:r w:rsidRPr="0082718B">
        <w:rPr>
          <w:b/>
          <w:lang w:eastAsia="zh-CN"/>
        </w:rPr>
        <w:t xml:space="preserve"> for </w:t>
      </w:r>
      <w:r>
        <w:rPr>
          <w:b/>
          <w:lang w:eastAsia="zh-CN"/>
        </w:rPr>
        <w:t xml:space="preserve">including the </w:t>
      </w:r>
      <w:r w:rsidRPr="0082718B">
        <w:rPr>
          <w:b/>
          <w:lang w:eastAsia="zh-CN"/>
        </w:rPr>
        <w:t xml:space="preserve">unlicensed band definition, i.e. band 46, and all </w:t>
      </w:r>
      <w:r>
        <w:rPr>
          <w:b/>
          <w:lang w:eastAsia="zh-CN"/>
        </w:rPr>
        <w:t xml:space="preserve">the requirements related to </w:t>
      </w:r>
      <w:r w:rsidRPr="0082718B">
        <w:rPr>
          <w:b/>
          <w:lang w:eastAsia="zh-CN"/>
        </w:rPr>
        <w:t>LBT</w:t>
      </w:r>
      <w:r>
        <w:rPr>
          <w:b/>
          <w:lang w:eastAsia="zh-CN"/>
        </w:rPr>
        <w:t xml:space="preserve"> mechanism </w:t>
      </w:r>
      <w:r w:rsidRPr="0082718B">
        <w:rPr>
          <w:b/>
          <w:lang w:eastAsia="zh-CN"/>
        </w:rPr>
        <w:t>for both BS and UE</w:t>
      </w:r>
      <w:r>
        <w:rPr>
          <w:b/>
          <w:lang w:eastAsia="zh-CN"/>
        </w:rPr>
        <w:t xml:space="preserve">, </w:t>
      </w:r>
      <w:r w:rsidRPr="00A30CFF">
        <w:rPr>
          <w:b/>
          <w:lang w:eastAsia="zh-CN"/>
        </w:rPr>
        <w:t>including channel access procedure</w:t>
      </w:r>
      <w:r>
        <w:rPr>
          <w:b/>
          <w:lang w:eastAsia="zh-CN"/>
        </w:rPr>
        <w:t>s</w:t>
      </w:r>
      <w:r w:rsidRPr="00A30CFF">
        <w:rPr>
          <w:b/>
          <w:lang w:eastAsia="zh-CN"/>
        </w:rPr>
        <w:t>, RRM for frame structure 3, and demodulation tests for LAA/eLAA</w:t>
      </w:r>
      <w:r>
        <w:rPr>
          <w:b/>
          <w:lang w:eastAsia="zh-CN"/>
        </w:rPr>
        <w:t>. Consider the 37 spec series.</w:t>
      </w:r>
    </w:p>
    <w:p w:rsidR="00B81605" w:rsidRDefault="00B81605">
      <w:r>
        <w:t>It is proposed that RAN makes a final decision at RAN#78 in December 2017 and updates the relevant LTE Rel-15 WIs with the new and impacted technical specifications. The relevant LTE WIs are “</w:t>
      </w:r>
      <w:r w:rsidRPr="00B81605">
        <w:t>Enhancements to LTE operation in unlicensed spectrum</w:t>
      </w:r>
      <w:r>
        <w:t>” and “</w:t>
      </w:r>
      <w:r w:rsidRPr="00B81605">
        <w:t>LAA/eLAA for the CBRS 3.5GHz band in the United States</w:t>
      </w:r>
      <w:r>
        <w:t>”.</w:t>
      </w:r>
    </w:p>
    <w:sectPr w:rsidR="00B81605" w:rsidSect="00C1187F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611" w:rsidRDefault="00F31611">
      <w:pPr>
        <w:spacing w:after="0"/>
      </w:pPr>
      <w:r>
        <w:separator/>
      </w:r>
    </w:p>
  </w:endnote>
  <w:endnote w:type="continuationSeparator" w:id="0">
    <w:p w:rsidR="00F31611" w:rsidRDefault="00F316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611" w:rsidRDefault="00F31611">
      <w:pPr>
        <w:spacing w:after="0"/>
      </w:pPr>
      <w:r>
        <w:separator/>
      </w:r>
    </w:p>
  </w:footnote>
  <w:footnote w:type="continuationSeparator" w:id="0">
    <w:p w:rsidR="00F31611" w:rsidRDefault="00F316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E91011">
      <w:fldChar w:fldCharType="begin"/>
    </w:r>
    <w:r>
      <w:instrText>PAGE</w:instrText>
    </w:r>
    <w:r w:rsidR="00E91011">
      <w:fldChar w:fldCharType="separate"/>
    </w:r>
    <w:r>
      <w:t>4</w:t>
    </w:r>
    <w:r w:rsidR="00E9101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A59F2"/>
    <w:multiLevelType w:val="hybridMultilevel"/>
    <w:tmpl w:val="D5A6DC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91F21"/>
    <w:multiLevelType w:val="hybridMultilevel"/>
    <w:tmpl w:val="DE3E85EA"/>
    <w:lvl w:ilvl="0" w:tplc="1C02BE48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857EFD"/>
    <w:multiLevelType w:val="hybridMultilevel"/>
    <w:tmpl w:val="C3901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7"/>
  </w:num>
  <w:num w:numId="4">
    <w:abstractNumId w:val="16"/>
  </w:num>
  <w:num w:numId="5">
    <w:abstractNumId w:val="6"/>
  </w:num>
  <w:num w:numId="6">
    <w:abstractNumId w:val="25"/>
  </w:num>
  <w:num w:numId="7">
    <w:abstractNumId w:val="10"/>
  </w:num>
  <w:num w:numId="8">
    <w:abstractNumId w:val="19"/>
  </w:num>
  <w:num w:numId="9">
    <w:abstractNumId w:val="9"/>
  </w:num>
  <w:num w:numId="10">
    <w:abstractNumId w:val="5"/>
  </w:num>
  <w:num w:numId="11">
    <w:abstractNumId w:val="26"/>
  </w:num>
  <w:num w:numId="12">
    <w:abstractNumId w:val="4"/>
  </w:num>
  <w:num w:numId="13">
    <w:abstractNumId w:val="22"/>
  </w:num>
  <w:num w:numId="14">
    <w:abstractNumId w:val="20"/>
  </w:num>
  <w:num w:numId="15">
    <w:abstractNumId w:val="3"/>
  </w:num>
  <w:num w:numId="16">
    <w:abstractNumId w:val="14"/>
  </w:num>
  <w:num w:numId="17">
    <w:abstractNumId w:val="7"/>
  </w:num>
  <w:num w:numId="18">
    <w:abstractNumId w:val="2"/>
  </w:num>
  <w:num w:numId="19">
    <w:abstractNumId w:val="15"/>
  </w:num>
  <w:num w:numId="20">
    <w:abstractNumId w:val="29"/>
  </w:num>
  <w:num w:numId="21">
    <w:abstractNumId w:val="24"/>
  </w:num>
  <w:num w:numId="22">
    <w:abstractNumId w:val="28"/>
  </w:num>
  <w:num w:numId="23">
    <w:abstractNumId w:val="8"/>
  </w:num>
  <w:num w:numId="24">
    <w:abstractNumId w:val="13"/>
  </w:num>
  <w:num w:numId="25">
    <w:abstractNumId w:val="0"/>
  </w:num>
  <w:num w:numId="26">
    <w:abstractNumId w:val="1"/>
  </w:num>
  <w:num w:numId="27">
    <w:abstractNumId w:val="11"/>
  </w:num>
  <w:num w:numId="28">
    <w:abstractNumId w:val="21"/>
  </w:num>
  <w:num w:numId="29">
    <w:abstractNumId w:val="2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34F82"/>
    <w:rsid w:val="00044BBA"/>
    <w:rsid w:val="00053397"/>
    <w:rsid w:val="00062D3F"/>
    <w:rsid w:val="00097F90"/>
    <w:rsid w:val="00120111"/>
    <w:rsid w:val="00126BCD"/>
    <w:rsid w:val="001312FF"/>
    <w:rsid w:val="00134D08"/>
    <w:rsid w:val="001B5130"/>
    <w:rsid w:val="001D3D37"/>
    <w:rsid w:val="001E2BBB"/>
    <w:rsid w:val="00210AA1"/>
    <w:rsid w:val="00271320"/>
    <w:rsid w:val="00281F51"/>
    <w:rsid w:val="00350176"/>
    <w:rsid w:val="003922F5"/>
    <w:rsid w:val="003A0BF1"/>
    <w:rsid w:val="003B4222"/>
    <w:rsid w:val="00474472"/>
    <w:rsid w:val="004B26CE"/>
    <w:rsid w:val="004E6F90"/>
    <w:rsid w:val="00521F3D"/>
    <w:rsid w:val="0059496E"/>
    <w:rsid w:val="00595DA4"/>
    <w:rsid w:val="006103CB"/>
    <w:rsid w:val="006409D1"/>
    <w:rsid w:val="006D6B31"/>
    <w:rsid w:val="007345A0"/>
    <w:rsid w:val="00747B4F"/>
    <w:rsid w:val="00767E30"/>
    <w:rsid w:val="007871A3"/>
    <w:rsid w:val="00796419"/>
    <w:rsid w:val="007A29F2"/>
    <w:rsid w:val="007B2D1D"/>
    <w:rsid w:val="007D4B84"/>
    <w:rsid w:val="00814A22"/>
    <w:rsid w:val="0082718B"/>
    <w:rsid w:val="00846383"/>
    <w:rsid w:val="00916089"/>
    <w:rsid w:val="0091617E"/>
    <w:rsid w:val="009374E6"/>
    <w:rsid w:val="009F28B8"/>
    <w:rsid w:val="00A008BE"/>
    <w:rsid w:val="00A13D97"/>
    <w:rsid w:val="00A30CFF"/>
    <w:rsid w:val="00A36F58"/>
    <w:rsid w:val="00A508B2"/>
    <w:rsid w:val="00A72E13"/>
    <w:rsid w:val="00AE62D2"/>
    <w:rsid w:val="00B276AA"/>
    <w:rsid w:val="00B40DB8"/>
    <w:rsid w:val="00B5025B"/>
    <w:rsid w:val="00B81605"/>
    <w:rsid w:val="00BC2E11"/>
    <w:rsid w:val="00BF0CE9"/>
    <w:rsid w:val="00BF6047"/>
    <w:rsid w:val="00C01577"/>
    <w:rsid w:val="00C11111"/>
    <w:rsid w:val="00C1187F"/>
    <w:rsid w:val="00C14F3A"/>
    <w:rsid w:val="00CC1FAC"/>
    <w:rsid w:val="00CE24ED"/>
    <w:rsid w:val="00CF2D4E"/>
    <w:rsid w:val="00D064A8"/>
    <w:rsid w:val="00D21DBC"/>
    <w:rsid w:val="00D243B4"/>
    <w:rsid w:val="00DD5F7D"/>
    <w:rsid w:val="00E35277"/>
    <w:rsid w:val="00E532C5"/>
    <w:rsid w:val="00E91011"/>
    <w:rsid w:val="00ED2B75"/>
    <w:rsid w:val="00EE085D"/>
    <w:rsid w:val="00EF02C8"/>
    <w:rsid w:val="00F31611"/>
    <w:rsid w:val="00F47212"/>
    <w:rsid w:val="00F50728"/>
    <w:rsid w:val="00F51A2A"/>
    <w:rsid w:val="00FC5749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18F1E2E-47B5-4DD2-BD9C-8BC858140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C118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118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1187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118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1187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1187F"/>
    <w:pPr>
      <w:outlineLvl w:val="5"/>
    </w:pPr>
  </w:style>
  <w:style w:type="paragraph" w:styleId="Heading7">
    <w:name w:val="heading 7"/>
    <w:basedOn w:val="H6"/>
    <w:next w:val="Normal"/>
    <w:qFormat/>
    <w:rsid w:val="00C1187F"/>
    <w:pPr>
      <w:outlineLvl w:val="6"/>
    </w:pPr>
  </w:style>
  <w:style w:type="paragraph" w:styleId="Heading8">
    <w:name w:val="heading 8"/>
    <w:basedOn w:val="Heading1"/>
    <w:next w:val="Normal"/>
    <w:qFormat/>
    <w:rsid w:val="00C118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18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1187F"/>
    <w:pPr>
      <w:spacing w:before="180"/>
      <w:ind w:left="2693" w:hanging="2693"/>
    </w:pPr>
    <w:rPr>
      <w:b/>
    </w:rPr>
  </w:style>
  <w:style w:type="paragraph" w:styleId="TOC1">
    <w:name w:val="toc 1"/>
    <w:semiHidden/>
    <w:rsid w:val="00C118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118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1187F"/>
    <w:pPr>
      <w:ind w:left="1701" w:hanging="1701"/>
    </w:pPr>
  </w:style>
  <w:style w:type="paragraph" w:styleId="TOC4">
    <w:name w:val="toc 4"/>
    <w:basedOn w:val="TOC3"/>
    <w:semiHidden/>
    <w:rsid w:val="00C1187F"/>
    <w:pPr>
      <w:ind w:left="1418" w:hanging="1418"/>
    </w:pPr>
  </w:style>
  <w:style w:type="paragraph" w:styleId="TOC3">
    <w:name w:val="toc 3"/>
    <w:basedOn w:val="TOC2"/>
    <w:semiHidden/>
    <w:rsid w:val="00C1187F"/>
    <w:pPr>
      <w:ind w:left="1134" w:hanging="1134"/>
    </w:pPr>
  </w:style>
  <w:style w:type="paragraph" w:styleId="TOC2">
    <w:name w:val="toc 2"/>
    <w:basedOn w:val="TOC1"/>
    <w:semiHidden/>
    <w:rsid w:val="00C118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187F"/>
    <w:pPr>
      <w:ind w:left="284"/>
    </w:pPr>
  </w:style>
  <w:style w:type="paragraph" w:styleId="Index1">
    <w:name w:val="index 1"/>
    <w:basedOn w:val="Normal"/>
    <w:semiHidden/>
    <w:rsid w:val="00C1187F"/>
    <w:pPr>
      <w:keepLines/>
      <w:spacing w:after="0"/>
    </w:pPr>
  </w:style>
  <w:style w:type="paragraph" w:customStyle="1" w:styleId="ZH">
    <w:name w:val="ZH"/>
    <w:rsid w:val="00C118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1187F"/>
    <w:pPr>
      <w:outlineLvl w:val="9"/>
    </w:pPr>
  </w:style>
  <w:style w:type="paragraph" w:styleId="ListNumber2">
    <w:name w:val="List Number 2"/>
    <w:basedOn w:val="ListNumber"/>
    <w:semiHidden/>
    <w:rsid w:val="00C1187F"/>
    <w:pPr>
      <w:ind w:left="851"/>
    </w:pPr>
  </w:style>
  <w:style w:type="paragraph" w:styleId="Header">
    <w:name w:val="header"/>
    <w:semiHidden/>
    <w:rsid w:val="00C118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1187F"/>
    <w:rPr>
      <w:b/>
      <w:position w:val="6"/>
      <w:sz w:val="16"/>
    </w:rPr>
  </w:style>
  <w:style w:type="paragraph" w:styleId="FootnoteText">
    <w:name w:val="footnote text"/>
    <w:basedOn w:val="Normal"/>
    <w:semiHidden/>
    <w:rsid w:val="00C118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1187F"/>
    <w:rPr>
      <w:b/>
    </w:rPr>
  </w:style>
  <w:style w:type="paragraph" w:customStyle="1" w:styleId="TAC">
    <w:name w:val="TAC"/>
    <w:basedOn w:val="TAL"/>
    <w:rsid w:val="00C1187F"/>
    <w:pPr>
      <w:jc w:val="center"/>
    </w:pPr>
  </w:style>
  <w:style w:type="paragraph" w:customStyle="1" w:styleId="TF">
    <w:name w:val="TF"/>
    <w:basedOn w:val="TH"/>
    <w:rsid w:val="00C1187F"/>
    <w:pPr>
      <w:keepNext w:val="0"/>
      <w:spacing w:before="0" w:after="240"/>
    </w:pPr>
  </w:style>
  <w:style w:type="paragraph" w:customStyle="1" w:styleId="NO">
    <w:name w:val="NO"/>
    <w:basedOn w:val="Normal"/>
    <w:rsid w:val="00C1187F"/>
    <w:pPr>
      <w:keepLines/>
      <w:ind w:left="1135" w:hanging="851"/>
    </w:pPr>
  </w:style>
  <w:style w:type="paragraph" w:styleId="TOC9">
    <w:name w:val="toc 9"/>
    <w:basedOn w:val="TOC8"/>
    <w:semiHidden/>
    <w:rsid w:val="00C1187F"/>
    <w:pPr>
      <w:ind w:left="1418" w:hanging="1418"/>
    </w:pPr>
  </w:style>
  <w:style w:type="paragraph" w:customStyle="1" w:styleId="EX">
    <w:name w:val="EX"/>
    <w:basedOn w:val="Normal"/>
    <w:rsid w:val="00C1187F"/>
    <w:pPr>
      <w:keepLines/>
      <w:ind w:left="1702" w:hanging="1418"/>
    </w:pPr>
  </w:style>
  <w:style w:type="paragraph" w:customStyle="1" w:styleId="FP">
    <w:name w:val="FP"/>
    <w:basedOn w:val="Normal"/>
    <w:rsid w:val="00C1187F"/>
    <w:pPr>
      <w:spacing w:after="0"/>
    </w:pPr>
  </w:style>
  <w:style w:type="paragraph" w:customStyle="1" w:styleId="LD">
    <w:name w:val="LD"/>
    <w:rsid w:val="00C118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1187F"/>
    <w:pPr>
      <w:spacing w:after="0"/>
    </w:pPr>
  </w:style>
  <w:style w:type="paragraph" w:customStyle="1" w:styleId="EW">
    <w:name w:val="EW"/>
    <w:basedOn w:val="EX"/>
    <w:rsid w:val="00C1187F"/>
    <w:pPr>
      <w:spacing w:after="0"/>
    </w:pPr>
  </w:style>
  <w:style w:type="paragraph" w:styleId="TOC6">
    <w:name w:val="toc 6"/>
    <w:basedOn w:val="TOC5"/>
    <w:next w:val="Normal"/>
    <w:semiHidden/>
    <w:rsid w:val="00C1187F"/>
    <w:pPr>
      <w:ind w:left="1985" w:hanging="1985"/>
    </w:pPr>
  </w:style>
  <w:style w:type="paragraph" w:styleId="TOC7">
    <w:name w:val="toc 7"/>
    <w:basedOn w:val="TOC6"/>
    <w:next w:val="Normal"/>
    <w:semiHidden/>
    <w:rsid w:val="00C1187F"/>
    <w:pPr>
      <w:ind w:left="2268" w:hanging="2268"/>
    </w:pPr>
  </w:style>
  <w:style w:type="paragraph" w:styleId="ListBullet2">
    <w:name w:val="List Bullet 2"/>
    <w:basedOn w:val="ListBullet"/>
    <w:semiHidden/>
    <w:rsid w:val="00C1187F"/>
    <w:pPr>
      <w:ind w:left="851"/>
    </w:pPr>
  </w:style>
  <w:style w:type="paragraph" w:styleId="ListBullet3">
    <w:name w:val="List Bullet 3"/>
    <w:basedOn w:val="ListBullet2"/>
    <w:semiHidden/>
    <w:rsid w:val="00C1187F"/>
    <w:pPr>
      <w:ind w:left="1135"/>
    </w:pPr>
  </w:style>
  <w:style w:type="paragraph" w:styleId="ListNumber">
    <w:name w:val="List Number"/>
    <w:basedOn w:val="List"/>
    <w:semiHidden/>
    <w:rsid w:val="00C1187F"/>
  </w:style>
  <w:style w:type="paragraph" w:customStyle="1" w:styleId="EQ">
    <w:name w:val="EQ"/>
    <w:basedOn w:val="Normal"/>
    <w:next w:val="Normal"/>
    <w:rsid w:val="00C118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18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18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18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1187F"/>
    <w:pPr>
      <w:jc w:val="right"/>
    </w:pPr>
  </w:style>
  <w:style w:type="paragraph" w:customStyle="1" w:styleId="H6">
    <w:name w:val="H6"/>
    <w:basedOn w:val="Heading5"/>
    <w:next w:val="Normal"/>
    <w:rsid w:val="00C118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187F"/>
    <w:pPr>
      <w:ind w:left="851" w:hanging="851"/>
    </w:pPr>
  </w:style>
  <w:style w:type="paragraph" w:customStyle="1" w:styleId="TAL">
    <w:name w:val="TAL"/>
    <w:basedOn w:val="Normal"/>
    <w:rsid w:val="00C118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18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118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118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118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1187F"/>
    <w:pPr>
      <w:framePr w:wrap="notBeside" w:y="16161"/>
    </w:pPr>
  </w:style>
  <w:style w:type="character" w:customStyle="1" w:styleId="ZGSM">
    <w:name w:val="ZGSM"/>
    <w:rsid w:val="00C1187F"/>
  </w:style>
  <w:style w:type="paragraph" w:styleId="List2">
    <w:name w:val="List 2"/>
    <w:basedOn w:val="List"/>
    <w:semiHidden/>
    <w:rsid w:val="00C1187F"/>
    <w:pPr>
      <w:ind w:left="851"/>
    </w:pPr>
  </w:style>
  <w:style w:type="paragraph" w:customStyle="1" w:styleId="ZG">
    <w:name w:val="ZG"/>
    <w:rsid w:val="00C118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1187F"/>
    <w:pPr>
      <w:ind w:left="1135"/>
    </w:pPr>
  </w:style>
  <w:style w:type="paragraph" w:styleId="List4">
    <w:name w:val="List 4"/>
    <w:basedOn w:val="List3"/>
    <w:semiHidden/>
    <w:rsid w:val="00C1187F"/>
    <w:pPr>
      <w:ind w:left="1418"/>
    </w:pPr>
  </w:style>
  <w:style w:type="paragraph" w:styleId="List5">
    <w:name w:val="List 5"/>
    <w:basedOn w:val="List4"/>
    <w:semiHidden/>
    <w:rsid w:val="00C1187F"/>
    <w:pPr>
      <w:ind w:left="1702"/>
    </w:pPr>
  </w:style>
  <w:style w:type="paragraph" w:customStyle="1" w:styleId="EditorsNote">
    <w:name w:val="Editor's Note"/>
    <w:basedOn w:val="NO"/>
    <w:rsid w:val="00C1187F"/>
    <w:rPr>
      <w:color w:val="FF0000"/>
    </w:rPr>
  </w:style>
  <w:style w:type="paragraph" w:styleId="List">
    <w:name w:val="List"/>
    <w:basedOn w:val="Normal"/>
    <w:semiHidden/>
    <w:rsid w:val="00C1187F"/>
    <w:pPr>
      <w:ind w:left="568" w:hanging="284"/>
    </w:pPr>
  </w:style>
  <w:style w:type="paragraph" w:styleId="ListBullet">
    <w:name w:val="List Bullet"/>
    <w:basedOn w:val="List"/>
    <w:semiHidden/>
    <w:rsid w:val="00C1187F"/>
  </w:style>
  <w:style w:type="paragraph" w:styleId="ListBullet4">
    <w:name w:val="List Bullet 4"/>
    <w:basedOn w:val="ListBullet3"/>
    <w:semiHidden/>
    <w:rsid w:val="00C1187F"/>
    <w:pPr>
      <w:ind w:left="1418"/>
    </w:pPr>
  </w:style>
  <w:style w:type="paragraph" w:styleId="ListBullet5">
    <w:name w:val="List Bullet 5"/>
    <w:basedOn w:val="ListBullet4"/>
    <w:semiHidden/>
    <w:rsid w:val="00C1187F"/>
    <w:pPr>
      <w:ind w:left="1702"/>
    </w:pPr>
  </w:style>
  <w:style w:type="paragraph" w:customStyle="1" w:styleId="B1">
    <w:name w:val="B1"/>
    <w:basedOn w:val="List"/>
    <w:rsid w:val="00C1187F"/>
  </w:style>
  <w:style w:type="paragraph" w:customStyle="1" w:styleId="B2">
    <w:name w:val="B2"/>
    <w:basedOn w:val="List2"/>
    <w:rsid w:val="00C1187F"/>
  </w:style>
  <w:style w:type="paragraph" w:customStyle="1" w:styleId="B3">
    <w:name w:val="B3"/>
    <w:basedOn w:val="List3"/>
    <w:rsid w:val="00C1187F"/>
  </w:style>
  <w:style w:type="paragraph" w:customStyle="1" w:styleId="B4">
    <w:name w:val="B4"/>
    <w:basedOn w:val="List4"/>
    <w:rsid w:val="00C1187F"/>
  </w:style>
  <w:style w:type="paragraph" w:customStyle="1" w:styleId="B5">
    <w:name w:val="B5"/>
    <w:basedOn w:val="List5"/>
    <w:rsid w:val="00C1187F"/>
  </w:style>
  <w:style w:type="paragraph" w:styleId="Footer">
    <w:name w:val="footer"/>
    <w:basedOn w:val="Header"/>
    <w:semiHidden/>
    <w:rsid w:val="00C1187F"/>
    <w:pPr>
      <w:jc w:val="center"/>
    </w:pPr>
    <w:rPr>
      <w:i/>
    </w:rPr>
  </w:style>
  <w:style w:type="paragraph" w:customStyle="1" w:styleId="ZTD">
    <w:name w:val="ZTD"/>
    <w:basedOn w:val="ZB"/>
    <w:rsid w:val="00C118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29F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A29F2"/>
    <w:rPr>
      <w:rFonts w:ascii="SimSun" w:eastAsia="SimSun" w:hAnsi="Times New Roman"/>
      <w:sz w:val="18"/>
      <w:szCs w:val="18"/>
      <w:lang w:val="en-GB" w:eastAsia="en-J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DFF0B-B5CC-44FD-ADF4-E31E21E9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Zhangpeng (Wireless Std.)</dc:creator>
  <cp:keywords>ESA, style sheet, Winword</cp:keywords>
  <cp:lastModifiedBy>David mazzarese</cp:lastModifiedBy>
  <cp:revision>5</cp:revision>
  <cp:lastPrinted>1899-12-31T16:00:00Z</cp:lastPrinted>
  <dcterms:created xsi:type="dcterms:W3CDTF">2017-09-04T13:25:00Z</dcterms:created>
  <dcterms:modified xsi:type="dcterms:W3CDTF">2017-09-04T21:11:00Z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1504559477</vt:lpwstr>
  </property>
</Properties>
</file>